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900"/>
        <w:gridCol w:w="930"/>
        <w:gridCol w:w="3015"/>
        <w:tblGridChange w:id="0">
          <w:tblGrid>
            <w:gridCol w:w="5970"/>
            <w:gridCol w:w="900"/>
            <w:gridCol w:w="930"/>
            <w:gridCol w:w="3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hd w:fill="ffffff" w:val="clear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LEVANTAMENTO DE FAUNA </w:t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before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Preencher o check list e enviar junto com a documentação preliminar e plano de trabalho via eProtocolo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DOCUMENTAÇÃO PRELIMINAR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1.8505859374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REQUERIMENTO DE LICENCIAMENTO AMBIENTAL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before="200" w:lineRule="auto"/>
              <w:ind w:left="0" w:firstLine="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RLA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Para todos os tipos de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CADASTRO DO EMPREENDIMENTO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shd w:fill="ffffff" w:val="clear"/>
              <w:spacing w:after="0" w:afterAutospacing="0" w:before="200" w:line="240" w:lineRule="auto"/>
              <w:ind w:left="720" w:hanging="360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Viários - </w:t>
            </w:r>
            <w:hyperlink r:id="rId7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CEV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Cadastro de Empreendimentos Imobiliários - </w:t>
            </w:r>
            <w:hyperlink r:id="rId8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CIM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; ou,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shd w:fill="ffffff" w:val="clear"/>
              <w:spacing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Cadastro de Obras Diversas – </w:t>
            </w:r>
            <w:hyperlink r:id="rId9">
              <w:r w:rsidDel="00000000" w:rsidR="00000000" w:rsidRPr="00000000">
                <w:rPr>
                  <w:b w:val="1"/>
                  <w:color w:val="00b0e6"/>
                  <w:rtl w:val="0"/>
                </w:rPr>
                <w:t xml:space="preserve">COD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TAXA AMBIENTAL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00" w:lineRule="auto"/>
              <w:ind w:left="0" w:firstLine="0"/>
              <w:jc w:val="both"/>
              <w:rPr>
                <w:b w:val="1"/>
                <w:color w:val="333333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Taxa de Ambiental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-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Boleto bancário</w:t>
            </w:r>
            <w:r w:rsidDel="00000000" w:rsidR="00000000" w:rsidRPr="00000000">
              <w:rPr>
                <w:color w:val="333333"/>
                <w:rtl w:val="0"/>
              </w:rPr>
              <w:t xml:space="preserve"> e </w:t>
            </w:r>
            <w:r w:rsidDel="00000000" w:rsidR="00000000" w:rsidRPr="00000000">
              <w:rPr>
                <w:color w:val="333333"/>
                <w:u w:val="single"/>
                <w:rtl w:val="0"/>
              </w:rPr>
              <w:t xml:space="preserve">comprovante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de recolhimento da Taxa.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DECLARAÇÃO DE VÍNCULO DA CONSULTORIA COM O EMPREENDEDOR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 declaração deverá conter os dados dos empreendimentos e respectivas assinaturas.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PLANO DE TRABALHO DE LEVANTAMENTO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4"/>
              </w:numPr>
              <w:spacing w:after="200" w:before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hd w:fill="ffffff" w:val="clear"/>
              <w:spacing w:after="200" w:before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3C">
            <w:pPr>
              <w:numPr>
                <w:ilvl w:val="2"/>
                <w:numId w:val="4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4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46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48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4E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50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2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58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5A">
            <w:pPr>
              <w:numPr>
                <w:ilvl w:val="2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Observação: Preferencialmente um responsável técnico por grupo taxonômico.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1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1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13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13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3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13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2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o tamanho em ha;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2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de uso e ocupação do solo;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Unidades de Conservação, caso houver;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Prioritárias para Conservação da Biodiversidade (APCB), caso houver;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de Importância para Aves e Biodiversidade (IBA), caso houver;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Global para Extinção Zero (Sítios AZE), caso houver;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Brasileira para Extinção Zero (Sítio BAZE), caso houver;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Ramsar, caso houver;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do Patrimônio Natural Mundial da UNESCO, caso houver;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Reservas da Biosfera, caso houver;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com a caracterização das fitofisionomias;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0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  </w:t>
            </w:r>
          </w:p>
          <w:p w:rsidR="00000000" w:rsidDel="00000000" w:rsidP="00000000" w:rsidRDefault="00000000" w:rsidRPr="00000000" w14:paraId="00000081">
            <w:pPr>
              <w:shd w:fill="ffffff" w:val="clear"/>
              <w:spacing w:before="20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UNIDADES AMOSTRAIS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as unidades amostrais para o levantamento de fauna conforme disposto no capítulo III da Portaria IAT nº 12/2024 e anexos.</w:t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controle</w:t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</w:t>
            </w:r>
            <w:r w:rsidDel="00000000" w:rsidR="00000000" w:rsidRPr="00000000">
              <w:rPr>
                <w:rtl w:val="0"/>
              </w:rPr>
              <w:t xml:space="preserve">UTM</w:t>
            </w:r>
            <w:r w:rsidDel="00000000" w:rsidR="00000000" w:rsidRPr="00000000">
              <w:rPr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B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8C">
            <w:pPr>
              <w:numPr>
                <w:ilvl w:val="2"/>
                <w:numId w:val="7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(AII).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Outras Unidades Amostrais</w:t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91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93">
            <w:pPr>
              <w:numPr>
                <w:ilvl w:val="2"/>
                <w:numId w:val="7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(ADA e AID).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 requerente poderá incluir mais de uma unidade amostral, se aplicável.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4"/>
              </w:numPr>
              <w:spacing w:after="0" w:after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 unidades amostrais deverão ser definidas para a fauna terrestre e aquática.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4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exista unidade amostral dentro da Unidade de Conservação ou Zona de Amortecimento deverá ser apresentada carta de anuência do órgão gestor.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4"/>
              </w:numPr>
              <w:shd w:fill="ffffff" w:val="clear"/>
              <w:spacing w:after="240" w:before="0" w:beforeAutospacing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exista unidade amostral dentro de área particular deverá ser apresentada carta de anuência do proprietário.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METODOLOGIAS E ESFORÇO AMOSTRAL</w:t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 o detalhamento do </w:t>
            </w:r>
            <w:r w:rsidDel="00000000" w:rsidR="00000000" w:rsidRPr="00000000">
              <w:rPr>
                <w:rtl w:val="0"/>
              </w:rPr>
              <w:t xml:space="preserve">planejamento amostral com métodos e esforço de amostragem </w:t>
            </w:r>
            <w:r w:rsidDel="00000000" w:rsidR="00000000" w:rsidRPr="00000000">
              <w:rPr>
                <w:rtl w:val="0"/>
              </w:rPr>
              <w:t xml:space="preserve">conforme disposto no capítulo III da Portaria IAT nº 12/2024 e anexos.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Descrição dos procedimentos metodológicos propriamente ditos: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Apresentar as metodologias utilizadas com a descrição da metodologia;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Apresentar esforço amostral: metodologia/tempo/unidade;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esforço amostral deverá ser apresentado por grupo taxonômico e habitat (terrestres e semi-aquáticos, se aplicável, e aquáticos).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Tabela geral de esforço amostral</w:t>
            </w:r>
          </w:p>
          <w:p w:rsidR="00000000" w:rsidDel="00000000" w:rsidP="00000000" w:rsidRDefault="00000000" w:rsidRPr="00000000" w14:paraId="000000A8">
            <w:pPr>
              <w:numPr>
                <w:ilvl w:val="1"/>
                <w:numId w:val="11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a tabela conforme modelo abaixo: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</w:rPr>
              <w:drawing>
                <wp:inline distB="114300" distT="114300" distL="114300" distR="114300">
                  <wp:extent cx="3633788" cy="97512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35609" l="93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88" cy="9751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1"/>
              </w:numPr>
              <w:shd w:fill="ffffff" w:val="clear"/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Descrição dos métodos de marcação (caso houver), de triagem e demais procedimentos a serem adotados para os exemplares capturados ou coletados.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Contemplar todos os grupos taxonômicos previstos na Portaria nº 012/2024: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Herpetofauna (Anfíbios e Répteis, incluindo semi aquáticos);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Mastofauna (incluindo semi aquáticos)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Ictiofauna.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LEVANTAMENTO DE ATROPELAMENTO DE FAUNA (NO CASO DE EMPREENDIMENTOS VIÁRIOS)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 detalhamento dos procedimentos de levantamento de fauna atropelada conforme disposto no capítulo VI da Portaria IAT nº 12/2024.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metodologia para execução do levantamento;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os métodos de análise dos dados.</w:t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before="200" w:lineRule="auto"/>
              <w:ind w:left="72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before="200" w:lineRule="auto"/>
              <w:ind w:left="72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hd w:fill="ffffff" w:val="clear"/>
              <w:spacing w:after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ESTATÍSTICA </w:t>
            </w:r>
          </w:p>
          <w:p w:rsidR="00000000" w:rsidDel="00000000" w:rsidP="00000000" w:rsidRDefault="00000000" w:rsidRPr="00000000" w14:paraId="000000C5">
            <w:pPr>
              <w:shd w:fill="ffffff" w:val="clear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Determinar previamente as análises estatísticas aplicáveis aos dados a serem coletados.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SECUNDÁRIOS DE ESPÉCIES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firstLine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espécies da fauna descrita para a localidade, baseada em dados secundários, indicando quais constam em listas oficiais de fauna ameaçada (estadual, nacional e internacional).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firstLine="7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Terrestre: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CF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(Anfíbios);</w:t>
            </w:r>
          </w:p>
          <w:p w:rsidR="00000000" w:rsidDel="00000000" w:rsidP="00000000" w:rsidRDefault="00000000" w:rsidRPr="00000000" w14:paraId="000000D0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Herpetofauna (Répteis incluindo semi aquáticos); </w:t>
            </w:r>
          </w:p>
          <w:p w:rsidR="00000000" w:rsidDel="00000000" w:rsidP="00000000" w:rsidRDefault="00000000" w:rsidRPr="00000000" w14:paraId="000000D1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Mastofauna (incluindo semi aquáticos);</w:t>
            </w:r>
          </w:p>
          <w:p w:rsidR="00000000" w:rsidDel="00000000" w:rsidP="00000000" w:rsidRDefault="00000000" w:rsidRPr="00000000" w14:paraId="000000D3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D6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carcinofauna), caso houver;</w:t>
            </w:r>
          </w:p>
          <w:p w:rsidR="00000000" w:rsidDel="00000000" w:rsidP="00000000" w:rsidRDefault="00000000" w:rsidRPr="00000000" w14:paraId="000000D7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D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Ictiofauna.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DD">
            <w:pPr>
              <w:shd w:fill="ffffff" w:val="clear"/>
              <w:spacing w:before="200" w:lineRule="auto"/>
              <w:ind w:left="0" w:firstLine="0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Apresentar </w:t>
            </w:r>
            <w:r w:rsidDel="00000000" w:rsidR="00000000" w:rsidRPr="00000000">
              <w:rPr>
                <w:rtl w:val="0"/>
              </w:rPr>
              <w:t xml:space="preserve">cronograma de atividades (número de campanhas e periodicidade mínima de três meses entre as campanhas).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hd w:fill="ffffff" w:val="clear"/>
              <w:spacing w:before="20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Apresentar listagem de referências bibliográficas.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8"/>
              </w:numPr>
              <w:shd w:fill="ffffff" w:val="clear"/>
              <w:spacing w:after="16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Carta de aceite da instituição onde o material biológico, porventura coletado, será depositado, com: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a. Nome da Instituição;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b. Endereço;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c. Tipo de material biológico aceito pela instituição: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i. Terrestres;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ii. Aquáticos.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requerente poderá incluir mais de uma instituição, se necessário.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Anotação de Responsabilidade Técnica - ARTs da equipe técnica devendo: </w:t>
            </w:r>
          </w:p>
          <w:p w:rsidR="00000000" w:rsidDel="00000000" w:rsidP="00000000" w:rsidRDefault="00000000" w:rsidRPr="00000000" w14:paraId="000000F1">
            <w:pPr>
              <w:numPr>
                <w:ilvl w:val="1"/>
                <w:numId w:val="8"/>
              </w:numPr>
              <w:spacing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Constar o nome do empreendimento e tipo de estudo de fauna, bem como o(s) respectivo(s) grupo(s) taxonômico(s);</w:t>
            </w:r>
          </w:p>
          <w:p w:rsidR="00000000" w:rsidDel="00000000" w:rsidP="00000000" w:rsidRDefault="00000000" w:rsidRPr="00000000" w14:paraId="000000F2">
            <w:pPr>
              <w:numPr>
                <w:ilvl w:val="1"/>
                <w:numId w:val="8"/>
              </w:numPr>
              <w:spacing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 todas as etapas do estudo a ser realizado (amostragem, triagem, identificação, análise de dados e elaboração do relatório);</w:t>
            </w:r>
          </w:p>
          <w:p w:rsidR="00000000" w:rsidDel="00000000" w:rsidP="00000000" w:rsidRDefault="00000000" w:rsidRPr="00000000" w14:paraId="000000F3">
            <w:pPr>
              <w:numPr>
                <w:ilvl w:val="1"/>
                <w:numId w:val="8"/>
              </w:numPr>
              <w:spacing w:line="240" w:lineRule="auto"/>
              <w:ind w:left="14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Constar assinatura do contratante e contratado.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1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8"/>
              </w:numPr>
              <w:shd w:fill="ffffff" w:val="clear"/>
              <w:spacing w:after="200" w:before="20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Certificado de Regularidade - CR no Cadastro Técnico Federal de Atividades e Instrumentos de Defesa Ambiental - CTF/AIDA da equipe técnica e da empresa de consultoria ambiental.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8"/>
              </w:numPr>
              <w:shd w:fill="ffffff" w:val="clear"/>
              <w:spacing w:after="20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vitae (em anexo)/Link do Currículo lattes.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hd w:fill="ffffff" w:val="clear"/>
              <w:spacing w:before="200" w:lineRule="auto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 É PERMITIDO</w:t>
            </w:r>
          </w:p>
          <w:p w:rsidR="00000000" w:rsidDel="00000000" w:rsidP="00000000" w:rsidRDefault="00000000" w:rsidRPr="00000000" w14:paraId="000000FC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área particular sem o consentimento do proprietário;</w:t>
            </w:r>
          </w:p>
          <w:p w:rsidR="00000000" w:rsidDel="00000000" w:rsidP="00000000" w:rsidRDefault="00000000" w:rsidRPr="00000000" w14:paraId="000000FD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Captura, coleta, transporte e soltura de espécies em unidades de conservação federais, estaduais, distritais ou municipais salvo quando acompanhadas da anuência do órgão administrador competente;</w:t>
            </w:r>
          </w:p>
          <w:p w:rsidR="00000000" w:rsidDel="00000000" w:rsidP="00000000" w:rsidRDefault="00000000" w:rsidRPr="00000000" w14:paraId="000000FE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e transporte de espécies listadas na instrução normativa mma nº 3/2003 e anexos cites;</w:t>
            </w:r>
          </w:p>
          <w:p w:rsidR="00000000" w:rsidDel="00000000" w:rsidP="00000000" w:rsidRDefault="00000000" w:rsidRPr="00000000" w14:paraId="000000FF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Coleta de material biológico por técnicos não listados na autorização;</w:t>
            </w:r>
          </w:p>
          <w:p w:rsidR="00000000" w:rsidDel="00000000" w:rsidP="00000000" w:rsidRDefault="00000000" w:rsidRPr="00000000" w14:paraId="00000100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Exportação de material biológico;</w:t>
            </w:r>
          </w:p>
          <w:p w:rsidR="00000000" w:rsidDel="00000000" w:rsidP="00000000" w:rsidRDefault="00000000" w:rsidRPr="00000000" w14:paraId="00000101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- Procedimentos metodológicos que não constem no plano de trabalho aprovado pelo instituto água e terra.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hd w:fill="ffffff" w:val="clear"/>
              <w:spacing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Este check list não esgota as possibilidades de complementação da equipe técnica do IAT tendo em vista as particularidades dos empreendimentos.</w:t>
            </w:r>
          </w:p>
        </w:tc>
      </w:tr>
    </w:tbl>
    <w:p w:rsidR="00000000" w:rsidDel="00000000" w:rsidP="00000000" w:rsidRDefault="00000000" w:rsidRPr="00000000" w14:paraId="00000109">
      <w:pPr>
        <w:shd w:fill="ffffff" w:val="clear"/>
        <w:spacing w:after="1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after="160" w:lineRule="auto"/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Publicado em Junho/2024.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celepar7.pr.gov.br/sia/licenciamento/txafauna/form_afauna.asp" TargetMode="External"/><Relationship Id="rId9" Type="http://schemas.openxmlformats.org/officeDocument/2006/relationships/hyperlink" Target="https://www.iat.pr.gov.br/sites/agua-terra/arquivos_restritos/files/documento/2021-06/cod_cadastro_simplificado_para_obras_diversa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at.pr.gov.br/sites/agua-terra/arquivos_restritos/files/documento/2020-11/rla-empreendimentos-viarios.rtf" TargetMode="External"/><Relationship Id="rId7" Type="http://schemas.openxmlformats.org/officeDocument/2006/relationships/hyperlink" Target="https://www.iat.pr.gov.br/sites/agua-terra/arquivos_restritos/files/documento/2020-11/cev_cadastro_de_empreendimentos_viarios.rtf" TargetMode="External"/><Relationship Id="rId8" Type="http://schemas.openxmlformats.org/officeDocument/2006/relationships/hyperlink" Target="https://www.iat.pr.gov.br/sites/agua-terra/arquivos_restritos/files/documento/2022-09/cim_cadastro_imobiliari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